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93F5A" w14:textId="50A5162F" w:rsidR="00B7390F" w:rsidRPr="008820ED" w:rsidRDefault="00B7390F" w:rsidP="00B739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8820ED">
        <w:rPr>
          <w:rFonts w:ascii="Arial" w:hAnsi="Arial" w:cs="Arial"/>
          <w:b/>
          <w:sz w:val="24"/>
          <w:lang w:val="en-US"/>
        </w:rPr>
        <w:t>3GPP TSG RAN WG1 Meeting #92bis</w:t>
      </w:r>
      <w:r w:rsidRPr="008820ED">
        <w:rPr>
          <w:rFonts w:ascii="Arial" w:hAnsi="Arial" w:cs="Arial"/>
          <w:b/>
          <w:sz w:val="24"/>
          <w:lang w:val="en-US"/>
        </w:rPr>
        <w:tab/>
      </w:r>
      <w:r w:rsidRPr="008820E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71220B">
        <w:rPr>
          <w:rFonts w:ascii="Arial" w:hAnsi="Arial" w:cs="Arial"/>
          <w:b/>
          <w:sz w:val="24"/>
          <w:lang w:val="en-US"/>
        </w:rPr>
        <w:t>R1-1804684</w:t>
      </w:r>
    </w:p>
    <w:p w14:paraId="39E04500" w14:textId="77777777" w:rsidR="00B7390F" w:rsidRDefault="00B7390F" w:rsidP="00B739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proofErr w:type="spellStart"/>
      <w:r w:rsidRPr="008820ED">
        <w:rPr>
          <w:rFonts w:ascii="Arial" w:hAnsi="Arial" w:cs="Arial"/>
          <w:b/>
          <w:sz w:val="24"/>
          <w:lang w:val="en-US"/>
        </w:rPr>
        <w:t>Sanya</w:t>
      </w:r>
      <w:proofErr w:type="spellEnd"/>
      <w:r w:rsidRPr="008820ED">
        <w:rPr>
          <w:rFonts w:ascii="Arial" w:hAnsi="Arial" w:cs="Arial"/>
          <w:b/>
          <w:sz w:val="24"/>
          <w:lang w:val="en-US"/>
        </w:rPr>
        <w:t>, China, April 16th – 20th, 2018</w:t>
      </w:r>
    </w:p>
    <w:p w14:paraId="758ABD67" w14:textId="77777777" w:rsidR="00C6184F" w:rsidRPr="00C179FA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6691097C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525B7A1" w14:textId="6C445B27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1220B">
        <w:rPr>
          <w:rFonts w:ascii="Arial" w:eastAsia="Malgun Gothic" w:hAnsi="Arial" w:cs="Arial"/>
          <w:b/>
          <w:sz w:val="24"/>
          <w:lang w:val="en-US" w:eastAsia="ko-KR"/>
        </w:rPr>
        <w:t>On TBS selection for LTE</w:t>
      </w:r>
    </w:p>
    <w:p w14:paraId="730296AB" w14:textId="54A0A7E9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71220B" w:rsidRPr="0071220B">
        <w:rPr>
          <w:rFonts w:ascii="Arial" w:hAnsi="Arial" w:cs="Arial"/>
          <w:b/>
          <w:sz w:val="24"/>
          <w:lang w:val="en-US"/>
        </w:rPr>
        <w:t>6.2.11</w:t>
      </w:r>
    </w:p>
    <w:p w14:paraId="455B0FA3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173C13F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8D4F212" w14:textId="1E0D1B90" w:rsidR="0071220B" w:rsidRDefault="0084105C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RAN1#92 meeting</w:t>
      </w:r>
      <w:r w:rsidR="0071220B">
        <w:rPr>
          <w:sz w:val="22"/>
          <w:szCs w:val="22"/>
        </w:rPr>
        <w:t xml:space="preserve"> the following conclusion was reached regarding TBS selection in LTE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1220B" w14:paraId="42E022BF" w14:textId="77777777" w:rsidTr="0071220B">
        <w:tc>
          <w:tcPr>
            <w:tcW w:w="10160" w:type="dxa"/>
          </w:tcPr>
          <w:p w14:paraId="2BA1C212" w14:textId="77777777" w:rsidR="0071220B" w:rsidRPr="00B03479" w:rsidRDefault="0071220B" w:rsidP="000D3207">
            <w:pPr>
              <w:spacing w:before="0" w:after="0" w:line="240" w:lineRule="auto"/>
              <w:rPr>
                <w:lang w:eastAsia="x-none"/>
              </w:rPr>
            </w:pPr>
            <w:r w:rsidRPr="00B03479">
              <w:rPr>
                <w:b/>
                <w:u w:val="single"/>
                <w:lang w:eastAsia="x-none"/>
              </w:rPr>
              <w:t>Conclusion</w:t>
            </w:r>
            <w:r w:rsidRPr="00B03479">
              <w:rPr>
                <w:lang w:eastAsia="x-none"/>
              </w:rPr>
              <w:t>:</w:t>
            </w:r>
          </w:p>
          <w:p w14:paraId="53641E02" w14:textId="7CEC8B8D" w:rsidR="0071220B" w:rsidRPr="0071220B" w:rsidRDefault="0071220B" w:rsidP="0071220B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eastAsia="x-none"/>
              </w:rPr>
            </w:pPr>
            <w:r w:rsidRPr="00B03479">
              <w:t>For the issue identified in the above 4 papers, RAN1 to specify one solution in Rel-15 under TEI-15</w:t>
            </w:r>
          </w:p>
        </w:tc>
      </w:tr>
    </w:tbl>
    <w:p w14:paraId="60C97057" w14:textId="26051207" w:rsidR="009B0A29" w:rsidRPr="0071220B" w:rsidRDefault="0071220B" w:rsidP="0071220B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provide our preference on the solution to be specified as part of Rel-15 T</w:t>
      </w:r>
      <w:r w:rsidR="00E04FA3">
        <w:rPr>
          <w:sz w:val="22"/>
          <w:szCs w:val="22"/>
        </w:rPr>
        <w:t>EI for enhanced TBS selection.</w:t>
      </w:r>
    </w:p>
    <w:p w14:paraId="2AE7AD5F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497D43CA" w14:textId="77777777" w:rsidR="0071220B" w:rsidRPr="0071220B" w:rsidRDefault="0071220B" w:rsidP="0071220B">
      <w:pPr>
        <w:jc w:val="both"/>
        <w:rPr>
          <w:sz w:val="22"/>
          <w:szCs w:val="22"/>
        </w:rPr>
      </w:pPr>
      <w:r w:rsidRPr="0071220B">
        <w:rPr>
          <w:sz w:val="22"/>
          <w:szCs w:val="22"/>
        </w:rPr>
        <w:t xml:space="preserve">In </w:t>
      </w:r>
      <w:r w:rsidRPr="0071220B">
        <w:rPr>
          <w:sz w:val="22"/>
          <w:szCs w:val="22"/>
        </w:rPr>
        <w:fldChar w:fldCharType="begin"/>
      </w:r>
      <w:r w:rsidRPr="0071220B">
        <w:rPr>
          <w:sz w:val="22"/>
          <w:szCs w:val="22"/>
        </w:rPr>
        <w:instrText xml:space="preserve"> REF _Ref498442086 \h </w:instrText>
      </w:r>
      <w:r w:rsidRPr="0071220B">
        <w:rPr>
          <w:sz w:val="22"/>
          <w:szCs w:val="22"/>
        </w:rPr>
      </w:r>
      <w:r w:rsidRPr="0071220B">
        <w:rPr>
          <w:sz w:val="22"/>
          <w:szCs w:val="22"/>
        </w:rPr>
        <w:instrText xml:space="preserve"> \* MERGEFORMAT </w:instrText>
      </w:r>
      <w:r w:rsidRPr="0071220B">
        <w:rPr>
          <w:sz w:val="22"/>
          <w:szCs w:val="22"/>
        </w:rPr>
        <w:fldChar w:fldCharType="separate"/>
      </w:r>
      <w:r w:rsidRPr="0071220B">
        <w:rPr>
          <w:sz w:val="22"/>
          <w:szCs w:val="22"/>
        </w:rPr>
        <w:t>Figure 1</w:t>
      </w:r>
      <w:r w:rsidRPr="0071220B">
        <w:rPr>
          <w:sz w:val="22"/>
          <w:szCs w:val="22"/>
        </w:rPr>
        <w:fldChar w:fldCharType="end"/>
      </w:r>
      <w:r w:rsidRPr="0071220B">
        <w:rPr>
          <w:sz w:val="22"/>
          <w:szCs w:val="22"/>
        </w:rPr>
        <w:t xml:space="preserve"> and </w:t>
      </w:r>
      <w:r w:rsidRPr="0071220B">
        <w:rPr>
          <w:sz w:val="22"/>
          <w:szCs w:val="22"/>
        </w:rPr>
        <w:fldChar w:fldCharType="begin"/>
      </w:r>
      <w:r w:rsidRPr="0071220B">
        <w:rPr>
          <w:sz w:val="22"/>
          <w:szCs w:val="22"/>
        </w:rPr>
        <w:instrText xml:space="preserve"> REF _Ref498442088 \h </w:instrText>
      </w:r>
      <w:r w:rsidRPr="0071220B">
        <w:rPr>
          <w:sz w:val="22"/>
          <w:szCs w:val="22"/>
        </w:rPr>
      </w:r>
      <w:r w:rsidRPr="0071220B">
        <w:rPr>
          <w:sz w:val="22"/>
          <w:szCs w:val="22"/>
        </w:rPr>
        <w:instrText xml:space="preserve"> \* MERGEFORMAT </w:instrText>
      </w:r>
      <w:r w:rsidRPr="0071220B">
        <w:rPr>
          <w:sz w:val="22"/>
          <w:szCs w:val="22"/>
        </w:rPr>
        <w:fldChar w:fldCharType="separate"/>
      </w:r>
      <w:r w:rsidRPr="0071220B">
        <w:rPr>
          <w:sz w:val="22"/>
          <w:szCs w:val="22"/>
        </w:rPr>
        <w:t>Figure 2</w:t>
      </w:r>
      <w:r w:rsidRPr="0071220B">
        <w:rPr>
          <w:sz w:val="22"/>
          <w:szCs w:val="22"/>
        </w:rPr>
        <w:fldChar w:fldCharType="end"/>
      </w:r>
      <w:r w:rsidRPr="0071220B">
        <w:rPr>
          <w:sz w:val="22"/>
          <w:szCs w:val="22"/>
        </w:rPr>
        <w:t xml:space="preserve"> we provide the link-level simulation results with the comparison of the 256QAM and 64QAM performance for the identified scenarios. The following simulation assumptions (mostly similar to simulation assumptions from </w:t>
      </w:r>
      <w:r w:rsidRPr="0071220B">
        <w:rPr>
          <w:sz w:val="22"/>
          <w:szCs w:val="22"/>
        </w:rPr>
        <w:fldChar w:fldCharType="begin"/>
      </w:r>
      <w:r w:rsidRPr="0071220B">
        <w:rPr>
          <w:sz w:val="22"/>
          <w:szCs w:val="22"/>
        </w:rPr>
        <w:instrText xml:space="preserve"> REF _Ref498441870 \r \h </w:instrText>
      </w:r>
      <w:r w:rsidRPr="0071220B">
        <w:rPr>
          <w:sz w:val="22"/>
          <w:szCs w:val="22"/>
        </w:rPr>
      </w:r>
      <w:r w:rsidRPr="0071220B">
        <w:rPr>
          <w:sz w:val="22"/>
          <w:szCs w:val="22"/>
        </w:rPr>
        <w:instrText xml:space="preserve"> \* MERGEFORMAT </w:instrText>
      </w:r>
      <w:r w:rsidRPr="0071220B">
        <w:rPr>
          <w:sz w:val="22"/>
          <w:szCs w:val="22"/>
        </w:rPr>
        <w:fldChar w:fldCharType="separate"/>
      </w:r>
      <w:r w:rsidRPr="0071220B">
        <w:rPr>
          <w:sz w:val="22"/>
          <w:szCs w:val="22"/>
        </w:rPr>
        <w:t>[2]</w:t>
      </w:r>
      <w:r w:rsidRPr="0071220B">
        <w:rPr>
          <w:sz w:val="22"/>
          <w:szCs w:val="22"/>
        </w:rPr>
        <w:fldChar w:fldCharType="end"/>
      </w:r>
      <w:r w:rsidRPr="0071220B">
        <w:rPr>
          <w:sz w:val="22"/>
          <w:szCs w:val="22"/>
        </w:rPr>
        <w:t>) were used for the analysis:</w:t>
      </w:r>
    </w:p>
    <w:p w14:paraId="659E68F5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Channel model: EPA-5 Hz</w:t>
      </w:r>
    </w:p>
    <w:p w14:paraId="092D7146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Antenna configuration: 2 x 2 ULA low</w:t>
      </w:r>
    </w:p>
    <w:p w14:paraId="2F5F3DF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Bandwidth: 10 MHz</w:t>
      </w:r>
    </w:p>
    <w:p w14:paraId="73D99ED2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Transmission mode 3</w:t>
      </w:r>
    </w:p>
    <w:p w14:paraId="7EAED9E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50 PRB resource allocation</w:t>
      </w:r>
    </w:p>
    <w:p w14:paraId="14EB017D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MIMO rank 2</w:t>
      </w:r>
    </w:p>
    <w:p w14:paraId="16A4C84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CFI 1 and 3</w:t>
      </w:r>
    </w:p>
    <w:p w14:paraId="4AA49B58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HARQ On</w:t>
      </w:r>
    </w:p>
    <w:p w14:paraId="27E85E5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Practical channel and noise estimation</w:t>
      </w:r>
    </w:p>
    <w:p w14:paraId="1878854E" w14:textId="77777777" w:rsidR="0071220B" w:rsidRPr="0071220B" w:rsidRDefault="0071220B" w:rsidP="0071220B">
      <w:pPr>
        <w:pStyle w:val="BodyText"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Times New Roman" w:eastAsia="Malgun Gothic" w:hAnsi="Times New Roman"/>
          <w:sz w:val="22"/>
          <w:szCs w:val="22"/>
          <w:lang w:eastAsia="ko-KR"/>
        </w:rPr>
      </w:pPr>
      <w:r w:rsidRPr="0071220B">
        <w:rPr>
          <w:rFonts w:ascii="Times New Roman" w:eastAsia="Malgun Gothic" w:hAnsi="Times New Roman"/>
          <w:sz w:val="22"/>
          <w:szCs w:val="22"/>
          <w:lang w:eastAsia="ko-KR"/>
        </w:rPr>
        <w:t>64QAM and 256QAM MCS tables</w:t>
      </w:r>
    </w:p>
    <w:p w14:paraId="629EB64F" w14:textId="77777777" w:rsidR="0071220B" w:rsidRPr="0071220B" w:rsidRDefault="0071220B" w:rsidP="0071220B">
      <w:pPr>
        <w:jc w:val="both"/>
        <w:rPr>
          <w:sz w:val="22"/>
          <w:szCs w:val="22"/>
        </w:rPr>
      </w:pPr>
      <w:r w:rsidRPr="0071220B">
        <w:rPr>
          <w:sz w:val="22"/>
          <w:szCs w:val="22"/>
        </w:rPr>
        <w:t>The following scenarios are considered for the analysis:</w:t>
      </w:r>
    </w:p>
    <w:p w14:paraId="7DC4DEA5" w14:textId="77777777" w:rsidR="0071220B" w:rsidRPr="0071220B" w:rsidRDefault="0071220B" w:rsidP="0071220B">
      <w:pPr>
        <w:numPr>
          <w:ilvl w:val="0"/>
          <w:numId w:val="10"/>
        </w:numPr>
        <w:spacing w:before="120" w:after="120"/>
        <w:ind w:left="720"/>
        <w:jc w:val="both"/>
        <w:rPr>
          <w:sz w:val="22"/>
          <w:szCs w:val="22"/>
        </w:rPr>
      </w:pPr>
      <w:r w:rsidRPr="0071220B">
        <w:rPr>
          <w:sz w:val="22"/>
          <w:szCs w:val="22"/>
        </w:rPr>
        <w:t>Scenario #1: “Follow CQI” PDSCH throughput (Figure 1)</w:t>
      </w:r>
    </w:p>
    <w:p w14:paraId="049E5A01" w14:textId="77777777" w:rsidR="0071220B" w:rsidRPr="0071220B" w:rsidRDefault="0071220B" w:rsidP="0071220B">
      <w:pPr>
        <w:numPr>
          <w:ilvl w:val="0"/>
          <w:numId w:val="10"/>
        </w:numPr>
        <w:spacing w:before="120" w:after="120"/>
        <w:ind w:left="720"/>
        <w:jc w:val="both"/>
        <w:rPr>
          <w:sz w:val="22"/>
          <w:szCs w:val="22"/>
        </w:rPr>
      </w:pPr>
      <w:r w:rsidRPr="0071220B">
        <w:rPr>
          <w:sz w:val="22"/>
          <w:szCs w:val="22"/>
        </w:rPr>
        <w:t>Scenario #2: PDSCH throughout envelope for full MCS set (i.e. maximum throughput among all MCS level for the given SNR)</w:t>
      </w:r>
    </w:p>
    <w:p w14:paraId="49EF87CB" w14:textId="77777777" w:rsidR="0071220B" w:rsidRPr="0071220B" w:rsidRDefault="0071220B" w:rsidP="0071220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1220B" w:rsidRPr="0071220B" w14:paraId="1862491B" w14:textId="77777777" w:rsidTr="00AF1DF7">
        <w:tc>
          <w:tcPr>
            <w:tcW w:w="4927" w:type="dxa"/>
            <w:shd w:val="clear" w:color="auto" w:fill="auto"/>
          </w:tcPr>
          <w:p w14:paraId="05394FC4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t>CFI 1</w:t>
            </w:r>
          </w:p>
          <w:p w14:paraId="02B5BD97" w14:textId="54A5932F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lastRenderedPageBreak/>
              <w:drawing>
                <wp:inline distT="0" distB="0" distL="0" distR="0" wp14:anchorId="30AC3DAC" wp14:editId="2A06743A">
                  <wp:extent cx="2804160" cy="21031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shd w:val="clear" w:color="auto" w:fill="auto"/>
          </w:tcPr>
          <w:p w14:paraId="113703DA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lastRenderedPageBreak/>
              <w:t>CFI 3</w:t>
            </w:r>
          </w:p>
          <w:p w14:paraId="069B8C4E" w14:textId="47B03301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lastRenderedPageBreak/>
              <w:drawing>
                <wp:inline distT="0" distB="0" distL="0" distR="0" wp14:anchorId="5AC6B82A" wp14:editId="4C03C52D">
                  <wp:extent cx="2804160" cy="21031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20B" w:rsidRPr="0071220B" w14:paraId="1A6081A2" w14:textId="77777777" w:rsidTr="00AF1DF7">
        <w:tc>
          <w:tcPr>
            <w:tcW w:w="9855" w:type="dxa"/>
            <w:gridSpan w:val="2"/>
            <w:shd w:val="clear" w:color="auto" w:fill="auto"/>
          </w:tcPr>
          <w:p w14:paraId="0D9B5034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bookmarkStart w:id="0" w:name="_Ref498442088"/>
            <w:r w:rsidRPr="0071220B">
              <w:rPr>
                <w:sz w:val="22"/>
                <w:szCs w:val="22"/>
              </w:rPr>
              <w:lastRenderedPageBreak/>
              <w:t xml:space="preserve">Figure </w:t>
            </w:r>
            <w:r w:rsidRPr="0071220B">
              <w:rPr>
                <w:sz w:val="22"/>
                <w:szCs w:val="22"/>
              </w:rPr>
              <w:fldChar w:fldCharType="begin"/>
            </w:r>
            <w:r w:rsidRPr="0071220B">
              <w:rPr>
                <w:sz w:val="22"/>
                <w:szCs w:val="22"/>
              </w:rPr>
              <w:instrText xml:space="preserve"> SEQ Figure \* ARABIC </w:instrText>
            </w:r>
            <w:r w:rsidRPr="0071220B">
              <w:rPr>
                <w:sz w:val="22"/>
                <w:szCs w:val="22"/>
              </w:rPr>
              <w:fldChar w:fldCharType="separate"/>
            </w:r>
            <w:r w:rsidRPr="0071220B">
              <w:rPr>
                <w:sz w:val="22"/>
                <w:szCs w:val="22"/>
              </w:rPr>
              <w:t>2</w:t>
            </w:r>
            <w:r w:rsidRPr="0071220B">
              <w:rPr>
                <w:sz w:val="22"/>
                <w:szCs w:val="22"/>
              </w:rPr>
              <w:fldChar w:fldCharType="end"/>
            </w:r>
            <w:bookmarkEnd w:id="0"/>
            <w:r w:rsidRPr="0071220B">
              <w:rPr>
                <w:sz w:val="22"/>
                <w:szCs w:val="22"/>
              </w:rPr>
              <w:t>. Simulation results – Scenario #1</w:t>
            </w:r>
          </w:p>
        </w:tc>
      </w:tr>
    </w:tbl>
    <w:p w14:paraId="0359D3CF" w14:textId="77777777" w:rsidR="0071220B" w:rsidRPr="0071220B" w:rsidRDefault="0071220B" w:rsidP="0071220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1220B" w:rsidRPr="0071220B" w14:paraId="55FBB52B" w14:textId="77777777" w:rsidTr="00AF1DF7">
        <w:tc>
          <w:tcPr>
            <w:tcW w:w="4927" w:type="dxa"/>
            <w:shd w:val="clear" w:color="auto" w:fill="auto"/>
          </w:tcPr>
          <w:p w14:paraId="281F6944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t>CFI 1</w:t>
            </w:r>
          </w:p>
          <w:p w14:paraId="581630F7" w14:textId="2D205376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14940471" wp14:editId="16B15BED">
                  <wp:extent cx="2804160" cy="210312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shd w:val="clear" w:color="auto" w:fill="auto"/>
          </w:tcPr>
          <w:p w14:paraId="666156B5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t>CFI 3</w:t>
            </w:r>
          </w:p>
          <w:p w14:paraId="3F485BEF" w14:textId="48DE6105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0D7B2D15" wp14:editId="4B85035A">
                  <wp:extent cx="2804160" cy="21031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20B" w:rsidRPr="0071220B" w14:paraId="2FE103E9" w14:textId="77777777" w:rsidTr="00AF1DF7">
        <w:tc>
          <w:tcPr>
            <w:tcW w:w="9855" w:type="dxa"/>
            <w:gridSpan w:val="2"/>
            <w:shd w:val="clear" w:color="auto" w:fill="auto"/>
          </w:tcPr>
          <w:p w14:paraId="34620831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bookmarkStart w:id="1" w:name="_Ref498442083"/>
            <w:bookmarkStart w:id="2" w:name="_Ref498442086"/>
            <w:r w:rsidRPr="0071220B">
              <w:rPr>
                <w:sz w:val="22"/>
                <w:szCs w:val="22"/>
              </w:rPr>
              <w:t xml:space="preserve">Figure </w:t>
            </w:r>
            <w:r w:rsidRPr="0071220B">
              <w:rPr>
                <w:sz w:val="22"/>
                <w:szCs w:val="22"/>
              </w:rPr>
              <w:fldChar w:fldCharType="begin"/>
            </w:r>
            <w:r w:rsidRPr="0071220B">
              <w:rPr>
                <w:sz w:val="22"/>
                <w:szCs w:val="22"/>
              </w:rPr>
              <w:instrText xml:space="preserve"> SEQ Figure \* ARABIC </w:instrText>
            </w:r>
            <w:r w:rsidRPr="0071220B">
              <w:rPr>
                <w:sz w:val="22"/>
                <w:szCs w:val="22"/>
              </w:rPr>
              <w:fldChar w:fldCharType="separate"/>
            </w:r>
            <w:r w:rsidRPr="0071220B">
              <w:rPr>
                <w:sz w:val="22"/>
                <w:szCs w:val="22"/>
              </w:rPr>
              <w:t>1</w:t>
            </w:r>
            <w:r w:rsidRPr="0071220B">
              <w:rPr>
                <w:sz w:val="22"/>
                <w:szCs w:val="22"/>
              </w:rPr>
              <w:fldChar w:fldCharType="end"/>
            </w:r>
            <w:bookmarkEnd w:id="2"/>
            <w:r w:rsidRPr="0071220B">
              <w:rPr>
                <w:sz w:val="22"/>
                <w:szCs w:val="22"/>
              </w:rPr>
              <w:t xml:space="preserve">. Simulation results – </w:t>
            </w:r>
            <w:bookmarkEnd w:id="1"/>
            <w:r w:rsidRPr="0071220B">
              <w:rPr>
                <w:sz w:val="22"/>
                <w:szCs w:val="22"/>
              </w:rPr>
              <w:t>Scenario #2</w:t>
            </w:r>
          </w:p>
        </w:tc>
      </w:tr>
    </w:tbl>
    <w:p w14:paraId="7C3BE88E" w14:textId="77777777" w:rsidR="0071220B" w:rsidRPr="0071220B" w:rsidRDefault="0071220B" w:rsidP="0071220B">
      <w:pPr>
        <w:keepNext/>
        <w:jc w:val="both"/>
        <w:rPr>
          <w:b/>
          <w:i/>
          <w:sz w:val="22"/>
          <w:szCs w:val="22"/>
          <w:lang w:val="en-US" w:eastAsia="zh-CN"/>
        </w:rPr>
      </w:pPr>
    </w:p>
    <w:p w14:paraId="71B8229F" w14:textId="77777777" w:rsidR="00E04FA3" w:rsidRPr="00E04FA3" w:rsidRDefault="0071220B" w:rsidP="0071220B">
      <w:pPr>
        <w:keepNext/>
        <w:jc w:val="both"/>
        <w:rPr>
          <w:b/>
          <w:i/>
          <w:sz w:val="22"/>
          <w:szCs w:val="22"/>
        </w:rPr>
      </w:pPr>
      <w:r w:rsidRPr="00E04FA3">
        <w:rPr>
          <w:b/>
          <w:i/>
          <w:sz w:val="22"/>
          <w:szCs w:val="22"/>
          <w:lang w:val="en-US" w:eastAsia="zh-CN"/>
        </w:rPr>
        <w:t>Observation:</w:t>
      </w:r>
      <w:r w:rsidRPr="00E04FA3">
        <w:rPr>
          <w:b/>
          <w:i/>
          <w:sz w:val="22"/>
          <w:szCs w:val="22"/>
        </w:rPr>
        <w:t xml:space="preserve"> </w:t>
      </w:r>
    </w:p>
    <w:p w14:paraId="665FDFC1" w14:textId="40152D97" w:rsidR="0071220B" w:rsidRPr="00E04FA3" w:rsidRDefault="0071220B" w:rsidP="00E04FA3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b/>
          <w:i/>
        </w:rPr>
      </w:pPr>
      <w:r w:rsidRPr="00E04FA3">
        <w:rPr>
          <w:rFonts w:ascii="Times New Roman" w:hAnsi="Times New Roman"/>
          <w:b/>
          <w:i/>
        </w:rPr>
        <w:t>For the evaluated scenarios</w:t>
      </w:r>
      <w:r w:rsidR="000D3207" w:rsidRPr="00E04FA3">
        <w:rPr>
          <w:b/>
          <w:i/>
        </w:rPr>
        <w:t xml:space="preserve"> when the actual overhead lower than overhead assumed for TBS table design</w:t>
      </w:r>
      <w:r w:rsidRPr="00E04FA3">
        <w:rPr>
          <w:rFonts w:ascii="Times New Roman" w:hAnsi="Times New Roman"/>
          <w:b/>
          <w:i/>
        </w:rPr>
        <w:t xml:space="preserve"> no performance issues with </w:t>
      </w:r>
      <w:r w:rsidR="000D3207" w:rsidRPr="00E04FA3">
        <w:rPr>
          <w:b/>
          <w:i/>
        </w:rPr>
        <w:t>TBS</w:t>
      </w:r>
      <w:r w:rsidRPr="00E04FA3">
        <w:rPr>
          <w:rFonts w:ascii="Times New Roman" w:hAnsi="Times New Roman"/>
          <w:b/>
          <w:i/>
        </w:rPr>
        <w:t xml:space="preserve"> </w:t>
      </w:r>
      <w:r w:rsidR="000D3207" w:rsidRPr="00E04FA3">
        <w:rPr>
          <w:b/>
          <w:i/>
        </w:rPr>
        <w:t xml:space="preserve">selection </w:t>
      </w:r>
      <w:r w:rsidRPr="00E04FA3">
        <w:rPr>
          <w:rFonts w:ascii="Times New Roman" w:hAnsi="Times New Roman"/>
          <w:b/>
          <w:i/>
        </w:rPr>
        <w:t>were identified.</w:t>
      </w:r>
    </w:p>
    <w:p w14:paraId="3870DF6B" w14:textId="77777777" w:rsidR="00E04FA3" w:rsidRDefault="0071220B" w:rsidP="0071220B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observation above it seems natural to </w:t>
      </w:r>
      <w:r>
        <w:rPr>
          <w:sz w:val="22"/>
          <w:szCs w:val="22"/>
        </w:rPr>
        <w:t xml:space="preserve">focus </w:t>
      </w:r>
      <w:r>
        <w:rPr>
          <w:sz w:val="22"/>
          <w:szCs w:val="22"/>
        </w:rPr>
        <w:t xml:space="preserve">TBS selection enhancements </w:t>
      </w:r>
      <w:r w:rsidR="00E04FA3">
        <w:rPr>
          <w:sz w:val="22"/>
          <w:szCs w:val="22"/>
        </w:rPr>
        <w:t xml:space="preserve">in Rel-15 </w:t>
      </w:r>
      <w:r>
        <w:rPr>
          <w:sz w:val="22"/>
          <w:szCs w:val="22"/>
        </w:rPr>
        <w:t>for</w:t>
      </w:r>
      <w:r>
        <w:rPr>
          <w:sz w:val="22"/>
          <w:szCs w:val="22"/>
        </w:rPr>
        <w:t xml:space="preserve"> the scenarios when the actual PDSCH overhead becomes substantially larger than the overhead assumed in the </w:t>
      </w:r>
      <w:r w:rsidR="00E04FA3">
        <w:rPr>
          <w:sz w:val="22"/>
          <w:szCs w:val="22"/>
        </w:rPr>
        <w:t>TBS</w:t>
      </w:r>
      <w:r>
        <w:rPr>
          <w:sz w:val="22"/>
          <w:szCs w:val="22"/>
        </w:rPr>
        <w:t xml:space="preserve"> table design. </w:t>
      </w:r>
      <w:r>
        <w:rPr>
          <w:sz w:val="22"/>
          <w:szCs w:val="22"/>
        </w:rPr>
        <w:t xml:space="preserve">Such </w:t>
      </w:r>
      <w:r w:rsidR="000D3207">
        <w:rPr>
          <w:sz w:val="22"/>
          <w:szCs w:val="22"/>
        </w:rPr>
        <w:t>cases</w:t>
      </w:r>
      <w:r>
        <w:rPr>
          <w:sz w:val="22"/>
          <w:szCs w:val="22"/>
        </w:rPr>
        <w:t xml:space="preserve"> can occur for example in the FD-MIMO scenario, whe</w:t>
      </w:r>
      <w:r w:rsidR="000D3207">
        <w:rPr>
          <w:sz w:val="22"/>
          <w:szCs w:val="22"/>
        </w:rPr>
        <w:t>re</w:t>
      </w:r>
      <w:r>
        <w:rPr>
          <w:sz w:val="22"/>
          <w:szCs w:val="22"/>
        </w:rPr>
        <w:t xml:space="preserve"> CSI-RS resource with large number of CSI-RS</w:t>
      </w:r>
      <w:r w:rsidR="000D3207">
        <w:rPr>
          <w:sz w:val="22"/>
          <w:szCs w:val="22"/>
        </w:rPr>
        <w:t xml:space="preserve"> antenna ports</w:t>
      </w:r>
      <w:r>
        <w:rPr>
          <w:sz w:val="22"/>
          <w:szCs w:val="22"/>
        </w:rPr>
        <w:t xml:space="preserve"> may substantially increase the PDSCH overhead</w:t>
      </w:r>
      <w:r w:rsidR="00E04FA3">
        <w:rPr>
          <w:sz w:val="22"/>
          <w:szCs w:val="22"/>
        </w:rPr>
        <w:t xml:space="preserve"> in the DL subframe</w:t>
      </w:r>
      <w:r>
        <w:rPr>
          <w:sz w:val="22"/>
          <w:szCs w:val="22"/>
        </w:rPr>
        <w:t xml:space="preserve"> relative to the overhead assumed for TBS </w:t>
      </w:r>
      <w:r w:rsidR="00E04FA3">
        <w:rPr>
          <w:sz w:val="22"/>
          <w:szCs w:val="22"/>
        </w:rPr>
        <w:t xml:space="preserve">table </w:t>
      </w:r>
      <w:r>
        <w:rPr>
          <w:sz w:val="22"/>
          <w:szCs w:val="22"/>
        </w:rPr>
        <w:t>design</w:t>
      </w:r>
      <w:r w:rsidR="000D3207">
        <w:rPr>
          <w:sz w:val="22"/>
          <w:szCs w:val="22"/>
        </w:rPr>
        <w:t xml:space="preserve"> making some of the </w:t>
      </w:r>
      <w:r w:rsidR="00E04FA3">
        <w:rPr>
          <w:sz w:val="22"/>
          <w:szCs w:val="22"/>
        </w:rPr>
        <w:t>MCS/</w:t>
      </w:r>
      <w:r w:rsidR="000D3207">
        <w:rPr>
          <w:sz w:val="22"/>
          <w:szCs w:val="22"/>
        </w:rPr>
        <w:t xml:space="preserve">TBS unusable due to </w:t>
      </w:r>
      <w:r w:rsidR="00E04FA3">
        <w:rPr>
          <w:sz w:val="22"/>
          <w:szCs w:val="22"/>
        </w:rPr>
        <w:t>high</w:t>
      </w:r>
      <w:r w:rsidR="000D3207">
        <w:rPr>
          <w:sz w:val="22"/>
          <w:szCs w:val="22"/>
        </w:rPr>
        <w:t xml:space="preserve"> coding rates. </w:t>
      </w:r>
    </w:p>
    <w:p w14:paraId="6C1CFD01" w14:textId="252185C1" w:rsidR="00E04FA3" w:rsidRPr="00E04FA3" w:rsidRDefault="00E04FA3" w:rsidP="00E04FA3">
      <w:pPr>
        <w:keepNext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val="en-US" w:eastAsia="zh-CN"/>
        </w:rPr>
        <w:t>Proposal</w:t>
      </w:r>
      <w:r w:rsidRPr="00E04FA3">
        <w:rPr>
          <w:b/>
          <w:i/>
          <w:sz w:val="22"/>
          <w:szCs w:val="22"/>
          <w:lang w:val="en-US" w:eastAsia="zh-CN"/>
        </w:rPr>
        <w:t>:</w:t>
      </w:r>
      <w:r w:rsidRPr="00E04FA3">
        <w:rPr>
          <w:b/>
          <w:i/>
          <w:sz w:val="22"/>
          <w:szCs w:val="22"/>
        </w:rPr>
        <w:t xml:space="preserve"> </w:t>
      </w:r>
    </w:p>
    <w:p w14:paraId="2F2309CC" w14:textId="2C172201" w:rsidR="00E04FA3" w:rsidRPr="00E04FA3" w:rsidRDefault="00E04FA3" w:rsidP="00E04FA3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Focus TBS selection enhancements for the scenarios when the actual overhead is higher than overhead assumed in TBS design</w:t>
      </w:r>
    </w:p>
    <w:p w14:paraId="41D6E506" w14:textId="77777777" w:rsidR="00E04FA3" w:rsidRPr="00E04FA3" w:rsidRDefault="00E04FA3" w:rsidP="0071220B">
      <w:pPr>
        <w:spacing w:before="240"/>
        <w:ind w:firstLine="288"/>
        <w:jc w:val="both"/>
        <w:rPr>
          <w:sz w:val="22"/>
          <w:szCs w:val="22"/>
          <w:lang w:val="en-US"/>
        </w:rPr>
      </w:pPr>
    </w:p>
    <w:p w14:paraId="0CBF0F8E" w14:textId="0944F118" w:rsidR="0071220B" w:rsidRPr="00BC45E7" w:rsidRDefault="000D3207" w:rsidP="0071220B">
      <w:pPr>
        <w:spacing w:before="24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lastRenderedPageBreak/>
        <w:t xml:space="preserve">To address TBS selection </w:t>
      </w:r>
      <w:r w:rsidR="00E04FA3">
        <w:rPr>
          <w:sz w:val="22"/>
          <w:szCs w:val="22"/>
        </w:rPr>
        <w:t xml:space="preserve">issue </w:t>
      </w:r>
      <w:r>
        <w:rPr>
          <w:sz w:val="22"/>
          <w:szCs w:val="22"/>
        </w:rPr>
        <w:t>for such scenarios, we proposed to adopt Solution 5, which is based on</w:t>
      </w:r>
      <w:r w:rsidR="0071220B">
        <w:rPr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 w:rsidR="0071220B" w:rsidRPr="000D3207">
        <w:rPr>
          <w:sz w:val="22"/>
          <w:szCs w:val="22"/>
          <w:vertAlign w:val="subscript"/>
        </w:rPr>
        <w:t>RB</w:t>
      </w:r>
      <w:r w:rsidR="0071220B" w:rsidRPr="00B127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scaling prior to </w:t>
      </w:r>
      <w:r w:rsidR="0071220B">
        <w:rPr>
          <w:sz w:val="22"/>
          <w:szCs w:val="22"/>
        </w:rPr>
        <w:t xml:space="preserve">TBS selection. </w:t>
      </w:r>
      <w:r>
        <w:rPr>
          <w:sz w:val="22"/>
          <w:szCs w:val="22"/>
        </w:rPr>
        <w:t xml:space="preserve">Such approach is </w:t>
      </w:r>
      <w:r w:rsidR="00E04FA3">
        <w:rPr>
          <w:sz w:val="22"/>
          <w:szCs w:val="22"/>
        </w:rPr>
        <w:t xml:space="preserve">already </w:t>
      </w:r>
      <w:r>
        <w:rPr>
          <w:sz w:val="22"/>
          <w:szCs w:val="22"/>
        </w:rPr>
        <w:t xml:space="preserve">well established </w:t>
      </w:r>
      <w:r w:rsidR="00E04FA3">
        <w:rPr>
          <w:sz w:val="22"/>
          <w:szCs w:val="22"/>
        </w:rPr>
        <w:t xml:space="preserve">for special subframe </w:t>
      </w:r>
      <w:r>
        <w:rPr>
          <w:sz w:val="22"/>
          <w:szCs w:val="22"/>
        </w:rPr>
        <w:t xml:space="preserve">and </w:t>
      </w:r>
      <w:r w:rsidR="00E04FA3">
        <w:rPr>
          <w:sz w:val="22"/>
          <w:szCs w:val="22"/>
        </w:rPr>
        <w:t xml:space="preserve">can be also used to </w:t>
      </w:r>
      <w:proofErr w:type="spellStart"/>
      <w:r w:rsidR="00E04FA3">
        <w:rPr>
          <w:sz w:val="22"/>
          <w:szCs w:val="22"/>
        </w:rPr>
        <w:t>addres</w:t>
      </w:r>
      <w:proofErr w:type="spellEnd"/>
      <w:r w:rsidR="00E04FA3">
        <w:rPr>
          <w:sz w:val="22"/>
          <w:szCs w:val="22"/>
        </w:rPr>
        <w:t xml:space="preserve"> the overhead issue in the normal DL subframes.</w:t>
      </w:r>
      <w:r>
        <w:rPr>
          <w:sz w:val="22"/>
          <w:szCs w:val="22"/>
        </w:rPr>
        <w:t xml:space="preserve"> </w:t>
      </w:r>
    </w:p>
    <w:p w14:paraId="07BAFDF9" w14:textId="77777777" w:rsidR="00E04FA3" w:rsidRPr="00E04FA3" w:rsidRDefault="00E04FA3" w:rsidP="00E04FA3">
      <w:pPr>
        <w:keepNext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val="en-US" w:eastAsia="zh-CN"/>
        </w:rPr>
        <w:t>Proposal</w:t>
      </w:r>
      <w:r w:rsidRPr="00E04FA3">
        <w:rPr>
          <w:b/>
          <w:i/>
          <w:sz w:val="22"/>
          <w:szCs w:val="22"/>
          <w:lang w:val="en-US" w:eastAsia="zh-CN"/>
        </w:rPr>
        <w:t>:</w:t>
      </w:r>
      <w:r w:rsidRPr="00E04FA3">
        <w:rPr>
          <w:b/>
          <w:i/>
          <w:sz w:val="22"/>
          <w:szCs w:val="22"/>
        </w:rPr>
        <w:t xml:space="preserve"> </w:t>
      </w:r>
    </w:p>
    <w:p w14:paraId="2BADF7A6" w14:textId="2550D09B" w:rsidR="00E04FA3" w:rsidRPr="00E04FA3" w:rsidRDefault="00E04FA3" w:rsidP="00E04FA3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Adopt Solution 5 for enhanced TBS selection in Rel-15 LTE</w:t>
      </w:r>
    </w:p>
    <w:p w14:paraId="1024529F" w14:textId="77777777" w:rsidR="00701B7E" w:rsidRDefault="00C8020A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  <w:bookmarkStart w:id="3" w:name="_Ref470879069"/>
      <w:r>
        <w:rPr>
          <w:rFonts w:cs="Arial"/>
          <w:lang w:val="en-US"/>
        </w:rPr>
        <w:t>s</w:t>
      </w:r>
    </w:p>
    <w:p w14:paraId="37695E62" w14:textId="17517422" w:rsidR="00E72C49" w:rsidRPr="00E04FA3" w:rsidRDefault="00E04FA3" w:rsidP="00E016BB">
      <w:pPr>
        <w:ind w:firstLine="288"/>
        <w:rPr>
          <w:i/>
        </w:rPr>
      </w:pPr>
      <w:r>
        <w:rPr>
          <w:sz w:val="22"/>
          <w:szCs w:val="22"/>
        </w:rPr>
        <w:t>In this contribution we provide our preference on the solution to be specified as part of Rel-15 T</w:t>
      </w:r>
      <w:r>
        <w:rPr>
          <w:sz w:val="22"/>
          <w:szCs w:val="22"/>
        </w:rPr>
        <w:t xml:space="preserve">EI for enhanced TBS selection. Based on the discussion we recommend to adopt Solution 5 </w:t>
      </w:r>
      <w:r w:rsidRPr="00E04FA3">
        <w:rPr>
          <w:sz w:val="22"/>
          <w:szCs w:val="22"/>
        </w:rPr>
        <w:t>for enhanced TBS selection in Rel-15 LTE</w:t>
      </w:r>
      <w:r>
        <w:rPr>
          <w:sz w:val="22"/>
          <w:szCs w:val="22"/>
        </w:rPr>
        <w:t>.</w:t>
      </w:r>
    </w:p>
    <w:p w14:paraId="2C0F161B" w14:textId="77777777" w:rsidR="00C8020A" w:rsidRPr="00701B7E" w:rsidRDefault="00C8020A" w:rsidP="00C8020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83E90A5" w14:textId="2C653451" w:rsidR="00E04FA3" w:rsidRDefault="00E04FA3" w:rsidP="0071220B">
      <w:pPr>
        <w:widowControl w:val="0"/>
        <w:numPr>
          <w:ilvl w:val="0"/>
          <w:numId w:val="2"/>
        </w:numPr>
        <w:tabs>
          <w:tab w:val="clear" w:pos="600"/>
          <w:tab w:val="num" w:pos="420"/>
        </w:tabs>
        <w:overflowPunct/>
        <w:autoSpaceDE/>
        <w:autoSpaceDN/>
        <w:adjustRightInd/>
        <w:spacing w:before="120" w:after="120"/>
        <w:ind w:left="420"/>
        <w:jc w:val="both"/>
        <w:textAlignment w:val="auto"/>
        <w:rPr>
          <w:rFonts w:eastAsia="MS Mincho"/>
          <w:sz w:val="22"/>
          <w:lang w:bidi="hi-IN"/>
        </w:rPr>
      </w:pPr>
      <w:bookmarkStart w:id="4" w:name="_Ref498441870"/>
      <w:bookmarkEnd w:id="3"/>
      <w:r>
        <w:rPr>
          <w:rFonts w:eastAsia="MS Mincho"/>
          <w:sz w:val="22"/>
          <w:lang w:bidi="hi-IN"/>
        </w:rPr>
        <w:t>Chairman’s notes, RAN1#92, Athens. Greece.</w:t>
      </w:r>
      <w:bookmarkStart w:id="5" w:name="_GoBack"/>
      <w:bookmarkEnd w:id="5"/>
    </w:p>
    <w:p w14:paraId="3D09B538" w14:textId="77777777" w:rsidR="0071220B" w:rsidRPr="00E04FA3" w:rsidRDefault="0071220B" w:rsidP="0071220B">
      <w:pPr>
        <w:widowControl w:val="0"/>
        <w:numPr>
          <w:ilvl w:val="0"/>
          <w:numId w:val="2"/>
        </w:numPr>
        <w:tabs>
          <w:tab w:val="clear" w:pos="600"/>
          <w:tab w:val="num" w:pos="420"/>
        </w:tabs>
        <w:overflowPunct/>
        <w:autoSpaceDE/>
        <w:autoSpaceDN/>
        <w:adjustRightInd/>
        <w:spacing w:before="120" w:after="120"/>
        <w:ind w:left="420"/>
        <w:jc w:val="both"/>
        <w:textAlignment w:val="auto"/>
        <w:rPr>
          <w:rFonts w:eastAsia="MS Mincho"/>
          <w:sz w:val="22"/>
          <w:lang w:bidi="hi-IN"/>
        </w:rPr>
      </w:pPr>
      <w:r w:rsidRPr="00E04FA3">
        <w:rPr>
          <w:rFonts w:eastAsia="MS Mincho"/>
          <w:sz w:val="22"/>
          <w:lang w:bidi="hi-IN"/>
        </w:rPr>
        <w:t>R</w:t>
      </w:r>
      <w:r w:rsidRPr="00E04FA3">
        <w:rPr>
          <w:rFonts w:eastAsia="MS Mincho" w:hint="eastAsia"/>
          <w:sz w:val="22"/>
          <w:lang w:bidi="hi-IN"/>
        </w:rPr>
        <w:t>4</w:t>
      </w:r>
      <w:r w:rsidRPr="00E04FA3">
        <w:rPr>
          <w:rFonts w:eastAsia="MS Mincho"/>
          <w:sz w:val="22"/>
          <w:lang w:bidi="hi-IN"/>
        </w:rPr>
        <w:t>-17</w:t>
      </w:r>
      <w:r w:rsidRPr="00E04FA3">
        <w:rPr>
          <w:rFonts w:eastAsia="MS Mincho" w:hint="eastAsia"/>
          <w:sz w:val="22"/>
          <w:lang w:bidi="hi-IN"/>
        </w:rPr>
        <w:t>11035</w:t>
      </w:r>
      <w:r w:rsidRPr="00E04FA3">
        <w:rPr>
          <w:rFonts w:eastAsia="MS Mincho"/>
          <w:sz w:val="22"/>
          <w:lang w:bidi="hi-IN"/>
        </w:rPr>
        <w:t xml:space="preserve"> “</w:t>
      </w:r>
      <w:r w:rsidRPr="00E04FA3">
        <w:rPr>
          <w:rFonts w:eastAsia="MS Mincho" w:hint="eastAsia"/>
          <w:sz w:val="22"/>
          <w:lang w:bidi="hi-IN"/>
        </w:rPr>
        <w:t>Simulation results on 256QAM MCS table</w:t>
      </w:r>
      <w:r w:rsidRPr="00E04FA3">
        <w:rPr>
          <w:rFonts w:eastAsia="MS Mincho"/>
          <w:sz w:val="22"/>
          <w:lang w:bidi="hi-IN"/>
        </w:rPr>
        <w:t>”, Samsung, RAN4 #8</w:t>
      </w:r>
      <w:r w:rsidRPr="00E04FA3">
        <w:rPr>
          <w:rFonts w:eastAsia="MS Mincho" w:hint="eastAsia"/>
          <w:sz w:val="22"/>
          <w:lang w:bidi="hi-IN"/>
        </w:rPr>
        <w:t>4bis</w:t>
      </w:r>
      <w:r w:rsidRPr="00E04FA3">
        <w:rPr>
          <w:rFonts w:eastAsia="MS Mincho"/>
          <w:sz w:val="22"/>
          <w:lang w:bidi="hi-IN"/>
        </w:rPr>
        <w:t>, October 2017</w:t>
      </w:r>
      <w:bookmarkEnd w:id="4"/>
    </w:p>
    <w:p w14:paraId="7450171B" w14:textId="3FCEC334" w:rsidR="00B127AF" w:rsidRPr="00B127AF" w:rsidRDefault="00B127AF" w:rsidP="0071220B">
      <w:pPr>
        <w:ind w:left="420"/>
        <w:jc w:val="both"/>
        <w:rPr>
          <w:sz w:val="22"/>
          <w:lang w:eastAsia="zh-CN"/>
        </w:rPr>
      </w:pPr>
    </w:p>
    <w:sectPr w:rsidR="00B127AF" w:rsidRPr="00B127AF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893605" w14:textId="77777777" w:rsidR="00046A6B" w:rsidRDefault="00046A6B">
      <w:r>
        <w:separator/>
      </w:r>
    </w:p>
  </w:endnote>
  <w:endnote w:type="continuationSeparator" w:id="0">
    <w:p w14:paraId="6FE26DB1" w14:textId="77777777" w:rsidR="00046A6B" w:rsidRDefault="0004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1270" w14:textId="77777777" w:rsidR="00B04A42" w:rsidRDefault="00B04A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B04A42" w:rsidRDefault="00B04A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2BC3E" w14:textId="77777777" w:rsidR="00B04A42" w:rsidRDefault="00B04A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4FA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4FA3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DD39A" w14:textId="77777777" w:rsidR="00046A6B" w:rsidRDefault="00046A6B">
      <w:r>
        <w:separator/>
      </w:r>
    </w:p>
  </w:footnote>
  <w:footnote w:type="continuationSeparator" w:id="0">
    <w:p w14:paraId="02A3EC9F" w14:textId="77777777" w:rsidR="00046A6B" w:rsidRDefault="00046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4BF6" w14:textId="77777777" w:rsidR="00B04A42" w:rsidRDefault="00B04A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7824053"/>
    <w:multiLevelType w:val="hybridMultilevel"/>
    <w:tmpl w:val="CA467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7891345"/>
    <w:multiLevelType w:val="hybridMultilevel"/>
    <w:tmpl w:val="F7A4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30C28"/>
    <w:multiLevelType w:val="hybridMultilevel"/>
    <w:tmpl w:val="1434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 w15:restartNumberingAfterBreak="0">
    <w:nsid w:val="50CD00AA"/>
    <w:multiLevelType w:val="hybridMultilevel"/>
    <w:tmpl w:val="6E4861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8"/>
  </w:num>
  <w:num w:numId="7">
    <w:abstractNumId w:val="4"/>
  </w:num>
  <w:num w:numId="8">
    <w:abstractNumId w:val="2"/>
  </w:num>
  <w:num w:numId="9">
    <w:abstractNumId w:val="16"/>
  </w:num>
  <w:num w:numId="10">
    <w:abstractNumId w:val="13"/>
  </w:num>
  <w:num w:numId="11">
    <w:abstractNumId w:val="12"/>
  </w:num>
  <w:num w:numId="12">
    <w:abstractNumId w:val="8"/>
  </w:num>
  <w:num w:numId="13">
    <w:abstractNumId w:val="17"/>
  </w:num>
  <w:num w:numId="14">
    <w:abstractNumId w:val="3"/>
  </w:num>
  <w:num w:numId="15">
    <w:abstractNumId w:val="10"/>
  </w:num>
  <w:num w:numId="16">
    <w:abstractNumId w:val="15"/>
  </w:num>
  <w:num w:numId="17">
    <w:abstractNumId w:val="14"/>
  </w:num>
  <w:num w:numId="18">
    <w:abstractNumId w:val="11"/>
  </w:num>
  <w:num w:numId="1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A6B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207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C17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78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2A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17AD9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836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C9B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559C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CF5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17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BE1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9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20B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A7A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703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64C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05C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B31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8EA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109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960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A42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90F"/>
    <w:rsid w:val="00B741DB"/>
    <w:rsid w:val="00B74570"/>
    <w:rsid w:val="00B74572"/>
    <w:rsid w:val="00B74A0D"/>
    <w:rsid w:val="00B74A4B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91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EB1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86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CAF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6BB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A3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AC1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B2Char">
    <w:name w:val="B2 Char"/>
    <w:link w:val="B2"/>
    <w:locked/>
    <w:rsid w:val="00DA5C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11008-CF56-4F80-8CE0-1F98F4EB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474</Words>
  <Characters>2501</Characters>
  <Application>Microsoft Office Word</Application>
  <DocSecurity>0</DocSecurity>
  <Lines>68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2975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3</cp:revision>
  <cp:lastPrinted>2011-11-09T07:49:00Z</cp:lastPrinted>
  <dcterms:created xsi:type="dcterms:W3CDTF">2018-04-06T17:01:00Z</dcterms:created>
  <dcterms:modified xsi:type="dcterms:W3CDTF">2018-04-06T21:03:00Z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257b2acc-6a5a-41fd-820c-ba4382e6e60f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2018-04-06 21:03:53Z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